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711EB" w14:textId="1BCA4F23" w:rsidR="00280974" w:rsidRPr="00EB1FE3" w:rsidRDefault="007C22CF" w:rsidP="00280974">
      <w:pPr>
        <w:rPr>
          <w:sz w:val="28"/>
          <w:szCs w:val="28"/>
        </w:rPr>
      </w:pPr>
      <w:bookmarkStart w:id="0" w:name="_GoBack"/>
      <w:bookmarkEnd w:id="0"/>
      <w:r w:rsidRPr="00EB1FE3">
        <w:rPr>
          <w:sz w:val="28"/>
          <w:szCs w:val="28"/>
        </w:rPr>
        <w:t>Korruption torjunta tulevaisuudessa? Mitä neuvoja? Tarvitaanko avoimuusrekisteri myös kuntatasolle?</w:t>
      </w:r>
    </w:p>
    <w:p w14:paraId="05C167CC" w14:textId="77777777" w:rsidR="007F573C" w:rsidRDefault="007F573C" w:rsidP="00280974">
      <w:pPr>
        <w:rPr>
          <w:sz w:val="28"/>
          <w:szCs w:val="28"/>
        </w:rPr>
      </w:pPr>
    </w:p>
    <w:p w14:paraId="63A52397" w14:textId="610D0D63" w:rsidR="00D60A1B" w:rsidRPr="00EB1FE3" w:rsidRDefault="00802C66" w:rsidP="00280974">
      <w:pPr>
        <w:rPr>
          <w:sz w:val="28"/>
          <w:szCs w:val="28"/>
        </w:rPr>
      </w:pPr>
      <w:r w:rsidRPr="00EB1FE3">
        <w:rPr>
          <w:sz w:val="28"/>
          <w:szCs w:val="28"/>
        </w:rPr>
        <w:t xml:space="preserve">Otan tässä puheenvuorossa esiin huomioita väitöskirjastani. </w:t>
      </w:r>
      <w:r w:rsidR="00CA6AF9">
        <w:rPr>
          <w:sz w:val="28"/>
          <w:szCs w:val="28"/>
        </w:rPr>
        <w:t>Lopuksi esitän muutaman kannanoton</w:t>
      </w:r>
      <w:r w:rsidR="005217A8">
        <w:rPr>
          <w:sz w:val="28"/>
          <w:szCs w:val="28"/>
        </w:rPr>
        <w:t xml:space="preserve"> kuntatason mahdollisesta lobbausrekisteristä. </w:t>
      </w:r>
      <w:r w:rsidRPr="00EB1FE3">
        <w:rPr>
          <w:sz w:val="28"/>
          <w:szCs w:val="28"/>
        </w:rPr>
        <w:t xml:space="preserve">Väittelin viime marraskuussa lahjusrikoksista ja virkavastuukysymyksistä Turun </w:t>
      </w:r>
      <w:r w:rsidR="00CA6AF9">
        <w:rPr>
          <w:sz w:val="28"/>
          <w:szCs w:val="28"/>
        </w:rPr>
        <w:t>yliopistossa</w:t>
      </w:r>
      <w:r w:rsidRPr="00EB1FE3">
        <w:rPr>
          <w:sz w:val="28"/>
          <w:szCs w:val="28"/>
        </w:rPr>
        <w:t>.</w:t>
      </w:r>
    </w:p>
    <w:p w14:paraId="0B5D5D8D" w14:textId="77777777" w:rsidR="00802C66" w:rsidRPr="00EB1FE3" w:rsidRDefault="00802C66" w:rsidP="00280974">
      <w:pPr>
        <w:rPr>
          <w:sz w:val="28"/>
          <w:szCs w:val="28"/>
        </w:rPr>
      </w:pPr>
    </w:p>
    <w:p w14:paraId="662D7584" w14:textId="1F29852D" w:rsidR="007C22CF" w:rsidRPr="00EB1FE3" w:rsidRDefault="00D60A1B" w:rsidP="00280974">
      <w:pPr>
        <w:rPr>
          <w:sz w:val="28"/>
          <w:szCs w:val="28"/>
        </w:rPr>
      </w:pPr>
      <w:r w:rsidRPr="00EB1FE3">
        <w:rPr>
          <w:sz w:val="28"/>
          <w:szCs w:val="28"/>
        </w:rPr>
        <w:t xml:space="preserve">Rikoslain esityöt ja oikeuskäytäntö eivät välttämättä tarjoa selkeää johtolankaa siihen, mikä on tavanomaista vieraanvaraisuutta vaan </w:t>
      </w:r>
      <w:r w:rsidR="005217A8">
        <w:rPr>
          <w:sz w:val="28"/>
          <w:szCs w:val="28"/>
        </w:rPr>
        <w:t>organisaatioiden</w:t>
      </w:r>
      <w:r w:rsidR="00233640" w:rsidRPr="00EB1FE3">
        <w:rPr>
          <w:sz w:val="28"/>
          <w:szCs w:val="28"/>
        </w:rPr>
        <w:t xml:space="preserve"> on itse luotava ohjeistukset. </w:t>
      </w:r>
      <w:r w:rsidR="001F1436" w:rsidRPr="001F1436">
        <w:rPr>
          <w:sz w:val="28"/>
          <w:szCs w:val="28"/>
        </w:rPr>
        <w:t xml:space="preserve">Tavanomaista suhdetoimintaa ei tulisi sekoittaa lahjontaan ja näitä tavanomaisen edustamisen tilanteita tulisikin selkiyttää viranomaisten ohjeistuksissa. </w:t>
      </w:r>
      <w:r w:rsidR="00D33AB0" w:rsidRPr="00EB1FE3">
        <w:rPr>
          <w:sz w:val="28"/>
          <w:szCs w:val="28"/>
        </w:rPr>
        <w:t xml:space="preserve">Ohjeistuksissa olisi syytä myös hyväksyä euromääräisiä rajoja edustamiselle. </w:t>
      </w:r>
      <w:r w:rsidR="007C22CF" w:rsidRPr="00EB1FE3">
        <w:rPr>
          <w:sz w:val="28"/>
          <w:szCs w:val="28"/>
        </w:rPr>
        <w:t xml:space="preserve">Tätä kautta </w:t>
      </w:r>
      <w:r w:rsidR="00E279F8">
        <w:rPr>
          <w:sz w:val="28"/>
          <w:szCs w:val="28"/>
        </w:rPr>
        <w:t xml:space="preserve">julkiset </w:t>
      </w:r>
      <w:r w:rsidR="007C22CF" w:rsidRPr="00EB1FE3">
        <w:rPr>
          <w:sz w:val="28"/>
          <w:szCs w:val="28"/>
        </w:rPr>
        <w:t xml:space="preserve">organisaatiot ottavat myös vastuuta oman organisaationsa toiminnasta eivätkä jätä virkamiehiä tai työntekijöitä omillensa. </w:t>
      </w:r>
    </w:p>
    <w:p w14:paraId="257E84F9" w14:textId="77777777" w:rsidR="007F573C" w:rsidRPr="00EB1FE3" w:rsidRDefault="007F573C" w:rsidP="00280974">
      <w:pPr>
        <w:rPr>
          <w:sz w:val="28"/>
          <w:szCs w:val="28"/>
        </w:rPr>
      </w:pPr>
    </w:p>
    <w:p w14:paraId="01BFFF34" w14:textId="63A85020" w:rsidR="007F573C" w:rsidRPr="00EB1FE3" w:rsidRDefault="007C22CF" w:rsidP="00280974">
      <w:pPr>
        <w:rPr>
          <w:sz w:val="28"/>
          <w:szCs w:val="28"/>
        </w:rPr>
      </w:pPr>
      <w:r w:rsidRPr="00EB1FE3">
        <w:rPr>
          <w:sz w:val="28"/>
          <w:szCs w:val="28"/>
        </w:rPr>
        <w:t xml:space="preserve">Perinteiset rikosoikeuden määritelmät rikoskumppanuudesta sekä yllytyksestä ja avunannosta eivät käytännössä sovellu julkisen sektorin lahjusrikoksissa esimiehen vastuuseen, joka käytännössä yleensä on valvontavelvollisuuden laiminlyöntiä. </w:t>
      </w:r>
      <w:r w:rsidR="00233640" w:rsidRPr="00EB1FE3">
        <w:rPr>
          <w:sz w:val="28"/>
          <w:szCs w:val="28"/>
        </w:rPr>
        <w:t xml:space="preserve">Organisaation ja </w:t>
      </w:r>
      <w:r w:rsidR="007F573C" w:rsidRPr="00EB1FE3">
        <w:rPr>
          <w:sz w:val="28"/>
          <w:szCs w:val="28"/>
        </w:rPr>
        <w:t xml:space="preserve">esimiesten vastuusäännöksiä </w:t>
      </w:r>
      <w:r w:rsidR="00233640" w:rsidRPr="00EB1FE3">
        <w:rPr>
          <w:sz w:val="28"/>
          <w:szCs w:val="28"/>
        </w:rPr>
        <w:t xml:space="preserve">lahjontatapauksissa </w:t>
      </w:r>
      <w:r w:rsidR="00982E0C" w:rsidRPr="00EB1FE3">
        <w:rPr>
          <w:sz w:val="28"/>
          <w:szCs w:val="28"/>
        </w:rPr>
        <w:t xml:space="preserve">tulisi tarkentaa. </w:t>
      </w:r>
      <w:r w:rsidR="007F573C" w:rsidRPr="00EB1FE3">
        <w:rPr>
          <w:sz w:val="28"/>
          <w:szCs w:val="28"/>
        </w:rPr>
        <w:t xml:space="preserve">Tällä hetkellä vastuusäännökset käytännössä puuttuvat. Yksittäinen virkamies tai työntekijä kantaa rikosoikeudellisen vastuun tällä hetkellä yksin. </w:t>
      </w:r>
      <w:r w:rsidR="00233640" w:rsidRPr="00EB1FE3">
        <w:rPr>
          <w:sz w:val="28"/>
          <w:szCs w:val="28"/>
        </w:rPr>
        <w:t>Selvää on, että t</w:t>
      </w:r>
      <w:r w:rsidR="007F573C" w:rsidRPr="00EB1FE3">
        <w:rPr>
          <w:sz w:val="28"/>
          <w:szCs w:val="28"/>
        </w:rPr>
        <w:t>yöantajan tulee olla julkisella sektorilla vastuussa henkilökunnan epäasiallisesta menettelystä, josta se on tietoinen ja johon se ei ole tarpeeksi puuttunut. Näin on tilanne yksityisellä</w:t>
      </w:r>
      <w:r w:rsidR="002A6B9F" w:rsidRPr="00EB1FE3">
        <w:rPr>
          <w:sz w:val="28"/>
          <w:szCs w:val="28"/>
        </w:rPr>
        <w:t>kin</w:t>
      </w:r>
      <w:r w:rsidR="007F573C" w:rsidRPr="00EB1FE3">
        <w:rPr>
          <w:sz w:val="28"/>
          <w:szCs w:val="28"/>
        </w:rPr>
        <w:t xml:space="preserve"> sektorilla.</w:t>
      </w:r>
      <w:r w:rsidR="003A4E82" w:rsidRPr="00EB1FE3">
        <w:rPr>
          <w:sz w:val="28"/>
          <w:szCs w:val="28"/>
        </w:rPr>
        <w:t xml:space="preserve"> </w:t>
      </w:r>
    </w:p>
    <w:p w14:paraId="5B931551" w14:textId="34A59C2B" w:rsidR="009C1050" w:rsidRPr="00EB1FE3" w:rsidRDefault="009C1050" w:rsidP="00280974">
      <w:pPr>
        <w:rPr>
          <w:sz w:val="28"/>
          <w:szCs w:val="28"/>
        </w:rPr>
      </w:pPr>
    </w:p>
    <w:p w14:paraId="1633F8CD" w14:textId="3D082931" w:rsidR="00D33AB0" w:rsidRPr="00EB1FE3" w:rsidRDefault="009C1050" w:rsidP="00280974">
      <w:pPr>
        <w:rPr>
          <w:sz w:val="28"/>
          <w:szCs w:val="28"/>
        </w:rPr>
      </w:pPr>
      <w:r w:rsidRPr="00EB1FE3">
        <w:rPr>
          <w:sz w:val="28"/>
          <w:szCs w:val="28"/>
        </w:rPr>
        <w:t xml:space="preserve">Lahjusrikoksia koskevat teonkuvaukset ovat rikoslaissa tarkkoja, mutta silti niitä lukiessa joutuu väistämättä pohtimaan, mitä niillä oikeastaan tarkoitetaan. Esitöiden perustelut ovat myös ristiriitaisia tietyiltä kohdin lainsäädäntöön nähden. </w:t>
      </w:r>
      <w:r w:rsidR="005E5892" w:rsidRPr="00EB1FE3">
        <w:rPr>
          <w:sz w:val="28"/>
          <w:szCs w:val="28"/>
        </w:rPr>
        <w:t xml:space="preserve">Lahjusrikoksia pidetään moraalisesti ja eettisesti niin paheksuttavina, että kriminalisoinnit hyväksytään helposti. </w:t>
      </w:r>
      <w:r w:rsidRPr="00EB1FE3">
        <w:rPr>
          <w:sz w:val="28"/>
          <w:szCs w:val="28"/>
        </w:rPr>
        <w:t xml:space="preserve">Rikoslain edellyttämä systemaattisuus ja </w:t>
      </w:r>
      <w:r w:rsidR="00D63AFD">
        <w:rPr>
          <w:sz w:val="28"/>
          <w:szCs w:val="28"/>
        </w:rPr>
        <w:t xml:space="preserve">laillisuusperiaatteen </w:t>
      </w:r>
      <w:r w:rsidRPr="00EB1FE3">
        <w:rPr>
          <w:sz w:val="28"/>
          <w:szCs w:val="28"/>
        </w:rPr>
        <w:t xml:space="preserve">epätäsmällisyyskielto </w:t>
      </w:r>
      <w:r w:rsidR="00145FB9" w:rsidRPr="00EB1FE3">
        <w:rPr>
          <w:sz w:val="28"/>
          <w:szCs w:val="28"/>
        </w:rPr>
        <w:t xml:space="preserve">ovat tohinassa </w:t>
      </w:r>
      <w:r w:rsidR="00D33AB0" w:rsidRPr="00EB1FE3">
        <w:rPr>
          <w:sz w:val="28"/>
          <w:szCs w:val="28"/>
        </w:rPr>
        <w:t xml:space="preserve">unohtuneet. </w:t>
      </w:r>
      <w:r w:rsidRPr="00EB1FE3">
        <w:rPr>
          <w:sz w:val="28"/>
          <w:szCs w:val="28"/>
        </w:rPr>
        <w:t xml:space="preserve">Vaikutusvallan väärinkäyttörikos on kuitenkin jätetty rankaisematta, koska poliitikot ja etujärjestöt näkevät tässä riskin. </w:t>
      </w:r>
    </w:p>
    <w:p w14:paraId="4079D60E" w14:textId="77777777" w:rsidR="00D33AB0" w:rsidRPr="00EB1FE3" w:rsidRDefault="00D33AB0" w:rsidP="00280974">
      <w:pPr>
        <w:rPr>
          <w:sz w:val="28"/>
          <w:szCs w:val="28"/>
        </w:rPr>
      </w:pPr>
    </w:p>
    <w:p w14:paraId="5064EBFF" w14:textId="62DC8226" w:rsidR="009C1050" w:rsidRPr="00EB1FE3" w:rsidRDefault="009C1050" w:rsidP="00280974">
      <w:pPr>
        <w:rPr>
          <w:sz w:val="28"/>
          <w:szCs w:val="28"/>
        </w:rPr>
      </w:pPr>
      <w:r w:rsidRPr="00EB1FE3">
        <w:rPr>
          <w:sz w:val="28"/>
          <w:szCs w:val="28"/>
        </w:rPr>
        <w:t>Lisäksi yleisiin oppeihin lukeutuvat määritelmät tahallisuudesta ja tuottamuksesta, teosta ja sen seurauksest</w:t>
      </w:r>
      <w:r w:rsidR="00363A8D" w:rsidRPr="00EB1FE3">
        <w:rPr>
          <w:sz w:val="28"/>
          <w:szCs w:val="28"/>
        </w:rPr>
        <w:t>a</w:t>
      </w:r>
      <w:r w:rsidRPr="00EB1FE3">
        <w:rPr>
          <w:sz w:val="28"/>
          <w:szCs w:val="28"/>
        </w:rPr>
        <w:t xml:space="preserve"> osoittautuvat hankaliksi näiden rikosten arvioinnin yhteydessä. Monesti aluksi selvältä vaikuttava lahjusrikosepäilytapaus kaatuu oikeusprosessissa rikosoikeudellisiin teoreettisiin pohdintoihin, joilla on selvä kytkentä rikosoikeuden yleiseen vastuuoppiin.</w:t>
      </w:r>
    </w:p>
    <w:p w14:paraId="1B1902F5" w14:textId="29932B99" w:rsidR="009C1050" w:rsidRPr="00EB1FE3" w:rsidRDefault="009C1050" w:rsidP="00280974">
      <w:pPr>
        <w:rPr>
          <w:sz w:val="28"/>
          <w:szCs w:val="28"/>
        </w:rPr>
      </w:pPr>
    </w:p>
    <w:p w14:paraId="0DFC6813" w14:textId="7D2108ED" w:rsidR="009C1050" w:rsidRPr="00EB1FE3" w:rsidRDefault="009C1050" w:rsidP="00280974">
      <w:pPr>
        <w:rPr>
          <w:sz w:val="28"/>
          <w:szCs w:val="28"/>
        </w:rPr>
      </w:pPr>
      <w:r w:rsidRPr="00EB1FE3">
        <w:rPr>
          <w:sz w:val="28"/>
          <w:szCs w:val="28"/>
        </w:rPr>
        <w:t xml:space="preserve">Kansainvälisten </w:t>
      </w:r>
      <w:r w:rsidR="00D33AB0" w:rsidRPr="00EB1FE3">
        <w:rPr>
          <w:sz w:val="28"/>
          <w:szCs w:val="28"/>
        </w:rPr>
        <w:t xml:space="preserve">korruptionvastaisten </w:t>
      </w:r>
      <w:r w:rsidRPr="00EB1FE3">
        <w:rPr>
          <w:sz w:val="28"/>
          <w:szCs w:val="28"/>
        </w:rPr>
        <w:t xml:space="preserve">sopimusten hyväksymisten myötä Suomen rikoslakiin on kyllä tehty </w:t>
      </w:r>
      <w:r w:rsidR="00D63AFD">
        <w:rPr>
          <w:sz w:val="28"/>
          <w:szCs w:val="28"/>
        </w:rPr>
        <w:t xml:space="preserve">lähes </w:t>
      </w:r>
      <w:r w:rsidRPr="00EB1FE3">
        <w:rPr>
          <w:sz w:val="28"/>
          <w:szCs w:val="28"/>
        </w:rPr>
        <w:t xml:space="preserve">kaikki </w:t>
      </w:r>
      <w:r w:rsidR="00D33AB0" w:rsidRPr="00EB1FE3">
        <w:rPr>
          <w:sz w:val="28"/>
          <w:szCs w:val="28"/>
        </w:rPr>
        <w:t xml:space="preserve">näiden sopimusten edellyttämät </w:t>
      </w:r>
      <w:r w:rsidRPr="00EB1FE3">
        <w:rPr>
          <w:sz w:val="28"/>
          <w:szCs w:val="28"/>
        </w:rPr>
        <w:t xml:space="preserve">muutokset. </w:t>
      </w:r>
      <w:r w:rsidR="00D33AB0" w:rsidRPr="00EB1FE3">
        <w:rPr>
          <w:sz w:val="28"/>
          <w:szCs w:val="28"/>
        </w:rPr>
        <w:t xml:space="preserve">Tästä lainvalmistelusta on </w:t>
      </w:r>
      <w:r w:rsidRPr="00EB1FE3">
        <w:rPr>
          <w:sz w:val="28"/>
          <w:szCs w:val="28"/>
        </w:rPr>
        <w:t xml:space="preserve">kuitenkin </w:t>
      </w:r>
      <w:r w:rsidR="00D33AB0" w:rsidRPr="00EB1FE3">
        <w:rPr>
          <w:sz w:val="28"/>
          <w:szCs w:val="28"/>
        </w:rPr>
        <w:t xml:space="preserve">puuttunut </w:t>
      </w:r>
      <w:r w:rsidRPr="00EB1FE3">
        <w:rPr>
          <w:sz w:val="28"/>
          <w:szCs w:val="28"/>
        </w:rPr>
        <w:t>lahjusrikossääntelyn kokonaisvaltainen tarkastelu ja kehittäminen.</w:t>
      </w:r>
    </w:p>
    <w:p w14:paraId="79362715" w14:textId="77777777" w:rsidR="007F573C" w:rsidRPr="00EB1FE3" w:rsidRDefault="007F573C" w:rsidP="00280974">
      <w:pPr>
        <w:rPr>
          <w:sz w:val="28"/>
          <w:szCs w:val="28"/>
        </w:rPr>
      </w:pPr>
    </w:p>
    <w:p w14:paraId="30E92360" w14:textId="1F0B1FA0" w:rsidR="00B00413" w:rsidRPr="00EB1FE3" w:rsidRDefault="00190332" w:rsidP="007C22CF">
      <w:pPr>
        <w:rPr>
          <w:sz w:val="28"/>
          <w:szCs w:val="28"/>
        </w:rPr>
      </w:pPr>
      <w:r w:rsidRPr="00EB1FE3">
        <w:rPr>
          <w:sz w:val="28"/>
          <w:szCs w:val="28"/>
        </w:rPr>
        <w:t xml:space="preserve">Suomessa on yhteensä </w:t>
      </w:r>
      <w:r w:rsidR="00245042">
        <w:rPr>
          <w:sz w:val="28"/>
          <w:szCs w:val="28"/>
        </w:rPr>
        <w:t xml:space="preserve">rikoslaissa </w:t>
      </w:r>
      <w:r w:rsidRPr="00EB1FE3">
        <w:rPr>
          <w:sz w:val="28"/>
          <w:szCs w:val="28"/>
        </w:rPr>
        <w:t xml:space="preserve">14 eri lahjusrikostunnusmerkistöä. </w:t>
      </w:r>
      <w:r w:rsidR="00F67A4E" w:rsidRPr="00EB1FE3">
        <w:rPr>
          <w:sz w:val="28"/>
          <w:szCs w:val="28"/>
        </w:rPr>
        <w:t xml:space="preserve">Julkiseen sektoriin liittyvillä lahjusrikossäännöksillä </w:t>
      </w:r>
      <w:r w:rsidR="00F67187" w:rsidRPr="00EB1FE3">
        <w:rPr>
          <w:sz w:val="28"/>
          <w:szCs w:val="28"/>
        </w:rPr>
        <w:t xml:space="preserve">suojellaan </w:t>
      </w:r>
      <w:r w:rsidR="00F67A4E" w:rsidRPr="00EB1FE3">
        <w:rPr>
          <w:sz w:val="28"/>
          <w:szCs w:val="28"/>
        </w:rPr>
        <w:t>julkisyhteisön päätöksenteon riippumattomuutta sekä laajemmin ka</w:t>
      </w:r>
      <w:r w:rsidR="007F573C" w:rsidRPr="00EB1FE3">
        <w:rPr>
          <w:sz w:val="28"/>
          <w:szCs w:val="28"/>
        </w:rPr>
        <w:t>nsalaisten luottamusta viran</w:t>
      </w:r>
      <w:r w:rsidR="00233640" w:rsidRPr="00EB1FE3">
        <w:rPr>
          <w:sz w:val="28"/>
          <w:szCs w:val="28"/>
        </w:rPr>
        <w:t xml:space="preserve">omaistoimintaa kohtaan. </w:t>
      </w:r>
      <w:r w:rsidR="00F67A4E" w:rsidRPr="00EB1FE3">
        <w:rPr>
          <w:sz w:val="28"/>
          <w:szCs w:val="28"/>
        </w:rPr>
        <w:t>Nykyisten elinkeinotoimintaan liittyvien lahjusrikossäännösten tarkoituksena on ensisijaisesti suoja</w:t>
      </w:r>
      <w:r w:rsidR="00F67187" w:rsidRPr="00EB1FE3">
        <w:rPr>
          <w:sz w:val="28"/>
          <w:szCs w:val="28"/>
        </w:rPr>
        <w:t>ta elinkeinonharjoittajan luot</w:t>
      </w:r>
      <w:r w:rsidR="00F67A4E" w:rsidRPr="00EB1FE3">
        <w:rPr>
          <w:sz w:val="28"/>
          <w:szCs w:val="28"/>
        </w:rPr>
        <w:t>tamusta alaisiinsa ja päämiehen luott</w:t>
      </w:r>
      <w:r w:rsidR="00F67187" w:rsidRPr="00EB1FE3">
        <w:rPr>
          <w:sz w:val="28"/>
          <w:szCs w:val="28"/>
        </w:rPr>
        <w:t>amusta toi</w:t>
      </w:r>
      <w:r w:rsidR="00F67A4E" w:rsidRPr="00EB1FE3">
        <w:rPr>
          <w:sz w:val="28"/>
          <w:szCs w:val="28"/>
        </w:rPr>
        <w:t>meksisaajaan sekä joss</w:t>
      </w:r>
      <w:r w:rsidR="00F67187" w:rsidRPr="00EB1FE3">
        <w:rPr>
          <w:sz w:val="28"/>
          <w:szCs w:val="28"/>
        </w:rPr>
        <w:t>ain määrin kilpailevien elin</w:t>
      </w:r>
      <w:r w:rsidR="00F67A4E" w:rsidRPr="00EB1FE3">
        <w:rPr>
          <w:sz w:val="28"/>
          <w:szCs w:val="28"/>
        </w:rPr>
        <w:t xml:space="preserve">keinonharjoittajien toimintaedellytyksiä. </w:t>
      </w:r>
      <w:r w:rsidR="003A4E82" w:rsidRPr="00EB1FE3">
        <w:rPr>
          <w:sz w:val="28"/>
          <w:szCs w:val="28"/>
        </w:rPr>
        <w:t>K</w:t>
      </w:r>
      <w:r w:rsidR="00B00413" w:rsidRPr="00EB1FE3">
        <w:rPr>
          <w:sz w:val="28"/>
          <w:szCs w:val="28"/>
        </w:rPr>
        <w:t xml:space="preserve">oska elinkeinotoiminnan lahjusrikoksilla suojataan ensisijaisesti </w:t>
      </w:r>
      <w:r w:rsidR="00F67187" w:rsidRPr="00EB1FE3">
        <w:rPr>
          <w:sz w:val="28"/>
          <w:szCs w:val="28"/>
        </w:rPr>
        <w:t>elinkeinonharjoittajan (</w:t>
      </w:r>
      <w:r w:rsidR="00B00413" w:rsidRPr="00EB1FE3">
        <w:rPr>
          <w:sz w:val="28"/>
          <w:szCs w:val="28"/>
        </w:rPr>
        <w:t>työnantajan</w:t>
      </w:r>
      <w:r w:rsidR="00D33AB0" w:rsidRPr="00EB1FE3">
        <w:rPr>
          <w:sz w:val="28"/>
          <w:szCs w:val="28"/>
        </w:rPr>
        <w:t xml:space="preserve"> tai päämiehen) </w:t>
      </w:r>
      <w:r w:rsidR="00B00413" w:rsidRPr="00EB1FE3">
        <w:rPr>
          <w:sz w:val="28"/>
          <w:szCs w:val="28"/>
        </w:rPr>
        <w:t xml:space="preserve">luottamusta, </w:t>
      </w:r>
      <w:r w:rsidR="00D95A5B" w:rsidRPr="00EB1FE3">
        <w:rPr>
          <w:sz w:val="28"/>
          <w:szCs w:val="28"/>
        </w:rPr>
        <w:t xml:space="preserve">elinkeinotoiminnan </w:t>
      </w:r>
      <w:r w:rsidR="00B00413" w:rsidRPr="00EB1FE3">
        <w:rPr>
          <w:sz w:val="28"/>
          <w:szCs w:val="28"/>
        </w:rPr>
        <w:t xml:space="preserve">lahjusrikokseen syyllistymisen poistavana elementtinä toimii </w:t>
      </w:r>
      <w:r w:rsidR="00FA2FFD" w:rsidRPr="00EB1FE3">
        <w:rPr>
          <w:sz w:val="28"/>
          <w:szCs w:val="28"/>
        </w:rPr>
        <w:t xml:space="preserve">vielä nykyisin </w:t>
      </w:r>
      <w:r w:rsidR="00B00413" w:rsidRPr="00EB1FE3">
        <w:rPr>
          <w:sz w:val="28"/>
          <w:szCs w:val="28"/>
        </w:rPr>
        <w:t>työantajan tai päämiehen tietoisuus ja hyväksyntä itse menettelylle. Tämä perustuu kantaan siitä, ettei yhtiön omistajaa voi lahjoa. Kun pohdimme sitten eteenpäin, mikä taho yrityksessä voi antaa tällaisen suostumuksen lahju</w:t>
      </w:r>
      <w:r w:rsidR="00D95A5B" w:rsidRPr="00EB1FE3">
        <w:rPr>
          <w:sz w:val="28"/>
          <w:szCs w:val="28"/>
        </w:rPr>
        <w:t xml:space="preserve">ksen vastaanottamiseen, olemme </w:t>
      </w:r>
      <w:r w:rsidR="00245042">
        <w:rPr>
          <w:sz w:val="28"/>
          <w:szCs w:val="28"/>
        </w:rPr>
        <w:t xml:space="preserve">jo </w:t>
      </w:r>
      <w:r w:rsidR="00B00413" w:rsidRPr="00EB1FE3">
        <w:rPr>
          <w:sz w:val="28"/>
          <w:szCs w:val="28"/>
        </w:rPr>
        <w:t>harhapoluilla. Nykyisten kilpailuoikeudellisten säännösten valossa tämänkaltaista suostumusta ei voida antaa.</w:t>
      </w:r>
      <w:r w:rsidR="00FA2FFD" w:rsidRPr="00EB1FE3">
        <w:rPr>
          <w:sz w:val="28"/>
          <w:szCs w:val="28"/>
        </w:rPr>
        <w:t xml:space="preserve"> Elinkeinotoiminnan la</w:t>
      </w:r>
      <w:r w:rsidR="00D95A5B" w:rsidRPr="00EB1FE3">
        <w:rPr>
          <w:sz w:val="28"/>
          <w:szCs w:val="28"/>
        </w:rPr>
        <w:t xml:space="preserve">hjusrikosten suojelukohde olisikin </w:t>
      </w:r>
      <w:r w:rsidR="00FA2FFD" w:rsidRPr="00EB1FE3">
        <w:rPr>
          <w:sz w:val="28"/>
          <w:szCs w:val="28"/>
        </w:rPr>
        <w:t>sii</w:t>
      </w:r>
      <w:r w:rsidR="00F67187" w:rsidRPr="00EB1FE3">
        <w:rPr>
          <w:sz w:val="28"/>
          <w:szCs w:val="28"/>
        </w:rPr>
        <w:t xml:space="preserve">rrettävä toimiviin </w:t>
      </w:r>
      <w:r w:rsidR="00245042">
        <w:rPr>
          <w:sz w:val="28"/>
          <w:szCs w:val="28"/>
        </w:rPr>
        <w:t>markkinoihin ja kilpailuoikeudellisten kysymysten merkitystä olisi vahvistettava.</w:t>
      </w:r>
    </w:p>
    <w:p w14:paraId="359E8CEC" w14:textId="77777777" w:rsidR="007C22CF" w:rsidRPr="00EB1FE3" w:rsidRDefault="007C22CF" w:rsidP="007C22CF">
      <w:pPr>
        <w:rPr>
          <w:sz w:val="28"/>
          <w:szCs w:val="28"/>
        </w:rPr>
      </w:pPr>
    </w:p>
    <w:p w14:paraId="1DD09395" w14:textId="62D0BEAB" w:rsidR="00B00413" w:rsidRPr="00EB1FE3" w:rsidRDefault="00B00413" w:rsidP="007C22CF">
      <w:pPr>
        <w:rPr>
          <w:sz w:val="28"/>
          <w:szCs w:val="28"/>
        </w:rPr>
      </w:pPr>
      <w:r w:rsidRPr="00EB1FE3">
        <w:rPr>
          <w:sz w:val="28"/>
          <w:szCs w:val="28"/>
        </w:rPr>
        <w:t xml:space="preserve">Lahjusrikosoikeudenkäynneissä esitetään harvoin vahingonkorvausvaatimuksia tai taloudellisen hyödyn menettämisvaatimuksia, mikä on erikoista ottaen huomioon näiden rikosten </w:t>
      </w:r>
      <w:r w:rsidR="00A00574">
        <w:rPr>
          <w:sz w:val="28"/>
          <w:szCs w:val="28"/>
        </w:rPr>
        <w:t xml:space="preserve">laajat </w:t>
      </w:r>
      <w:r w:rsidRPr="00EB1FE3">
        <w:rPr>
          <w:sz w:val="28"/>
          <w:szCs w:val="28"/>
        </w:rPr>
        <w:t xml:space="preserve">yhteiskunnalliset negatiiviset vaikutukset. </w:t>
      </w:r>
      <w:r w:rsidR="00A00574" w:rsidRPr="00A00574">
        <w:rPr>
          <w:sz w:val="28"/>
          <w:szCs w:val="28"/>
        </w:rPr>
        <w:t xml:space="preserve">Lahjonnan yhteydessä tarjottu epäasiallinen etu on rikoksentekoväline, joka sen vastaanottanut taho tuomitaan erityissäännöksen nojalla menettämään. </w:t>
      </w:r>
      <w:r w:rsidRPr="00EB1FE3">
        <w:rPr>
          <w:sz w:val="28"/>
          <w:szCs w:val="28"/>
        </w:rPr>
        <w:t>Mutta eikö se, millä tavoin tästä vaikuttamispyrkimyksestä on taloudellisesti hyödytty, ole nimenomaan rikoksella saatua hyötyä?</w:t>
      </w:r>
    </w:p>
    <w:p w14:paraId="0FD534B0" w14:textId="77777777" w:rsidR="007C22CF" w:rsidRPr="00EB1FE3" w:rsidRDefault="007C22CF" w:rsidP="007C22CF">
      <w:pPr>
        <w:rPr>
          <w:sz w:val="28"/>
          <w:szCs w:val="28"/>
        </w:rPr>
      </w:pPr>
    </w:p>
    <w:p w14:paraId="3BA04C86" w14:textId="0152FF6F" w:rsidR="00280974" w:rsidRPr="00EB1FE3" w:rsidRDefault="00FA2FFD" w:rsidP="007C22CF">
      <w:pPr>
        <w:rPr>
          <w:sz w:val="28"/>
          <w:szCs w:val="28"/>
        </w:rPr>
      </w:pPr>
      <w:r w:rsidRPr="00EB1FE3">
        <w:rPr>
          <w:sz w:val="28"/>
          <w:szCs w:val="28"/>
        </w:rPr>
        <w:t>Toisaalta nykyisin on syyttäjillä y</w:t>
      </w:r>
      <w:r w:rsidR="00D95A5B" w:rsidRPr="00EB1FE3">
        <w:rPr>
          <w:sz w:val="28"/>
          <w:szCs w:val="28"/>
        </w:rPr>
        <w:t>lipäätänsä vaikea saada syytteitä</w:t>
      </w:r>
      <w:r w:rsidRPr="00EB1FE3">
        <w:rPr>
          <w:sz w:val="28"/>
          <w:szCs w:val="28"/>
        </w:rPr>
        <w:t xml:space="preserve"> läpi lahjusrikoksissa, joten rikoshyötylaskelmat eivät ehkä ole etusijalla </w:t>
      </w:r>
      <w:r w:rsidR="00585950" w:rsidRPr="00EB1FE3">
        <w:rPr>
          <w:sz w:val="28"/>
          <w:szCs w:val="28"/>
        </w:rPr>
        <w:t>rikos</w:t>
      </w:r>
      <w:r w:rsidRPr="00EB1FE3">
        <w:rPr>
          <w:sz w:val="28"/>
          <w:szCs w:val="28"/>
        </w:rPr>
        <w:t xml:space="preserve">prosessissa. Syytteet hylätään </w:t>
      </w:r>
      <w:r w:rsidR="00B00413" w:rsidRPr="00EB1FE3">
        <w:rPr>
          <w:sz w:val="28"/>
          <w:szCs w:val="28"/>
        </w:rPr>
        <w:t xml:space="preserve">pitkälti </w:t>
      </w:r>
      <w:r w:rsidRPr="00EB1FE3">
        <w:rPr>
          <w:sz w:val="28"/>
          <w:szCs w:val="28"/>
        </w:rPr>
        <w:t xml:space="preserve">johtuen </w:t>
      </w:r>
      <w:r w:rsidR="00B00413" w:rsidRPr="00EB1FE3">
        <w:rPr>
          <w:sz w:val="28"/>
          <w:szCs w:val="28"/>
        </w:rPr>
        <w:t xml:space="preserve">näyttövaikeuksista. Näyttövaikeudet voivat </w:t>
      </w:r>
      <w:r w:rsidRPr="00EB1FE3">
        <w:rPr>
          <w:sz w:val="28"/>
          <w:szCs w:val="28"/>
        </w:rPr>
        <w:t xml:space="preserve">kuitenkin </w:t>
      </w:r>
      <w:r w:rsidR="00B00413" w:rsidRPr="00EB1FE3">
        <w:rPr>
          <w:sz w:val="28"/>
          <w:szCs w:val="28"/>
        </w:rPr>
        <w:t>olla syvällisemmin kytköksissä lahjusrikostunnusmerkistöjen teonkuvauksiin ja vakiintumattomaan tulkintaan siitä, mikä on lahjus. Elinkeinotoiminnan lahjusrikoksissa edellytetään tällä hetkellä lahjuksen antajan suosimistarkoitusta, jota on lähes mahdoton näyttää toteen, j</w:t>
      </w:r>
      <w:r w:rsidR="00D95A5B" w:rsidRPr="00EB1FE3">
        <w:rPr>
          <w:sz w:val="28"/>
          <w:szCs w:val="28"/>
        </w:rPr>
        <w:t>ollei arviota tehdä välillisesti</w:t>
      </w:r>
      <w:r w:rsidR="00B00413" w:rsidRPr="00EB1FE3">
        <w:rPr>
          <w:sz w:val="28"/>
          <w:szCs w:val="28"/>
        </w:rPr>
        <w:t xml:space="preserve"> tietyistä olosuhteista käsin. Viimeaikaisista massiivista julkisuutta h</w:t>
      </w:r>
      <w:r w:rsidR="00D95A5B" w:rsidRPr="00EB1FE3">
        <w:rPr>
          <w:sz w:val="28"/>
          <w:szCs w:val="28"/>
        </w:rPr>
        <w:t>erättävistä lahjusrikosoikeuden</w:t>
      </w:r>
      <w:r w:rsidR="00B00413" w:rsidRPr="00EB1FE3">
        <w:rPr>
          <w:sz w:val="28"/>
          <w:szCs w:val="28"/>
        </w:rPr>
        <w:t xml:space="preserve">käynneistä, joissa </w:t>
      </w:r>
      <w:r w:rsidR="00B00413" w:rsidRPr="00EB1FE3">
        <w:rPr>
          <w:sz w:val="28"/>
          <w:szCs w:val="28"/>
        </w:rPr>
        <w:lastRenderedPageBreak/>
        <w:t>syytteet on hylätty voidaan johtopäätöksenä esittää, että kyse voi olla muustakin kuin näytön riittämättömyydestä - kuten siitä, mistä oikeastaan vaaditaan näyttöä. Tuomitsemiskynnys näyttää olevan korkeammalla kuin, mitä rikoslaki ja sen esityöt edellyttävät</w:t>
      </w:r>
      <w:r w:rsidR="00D95A5B" w:rsidRPr="00EB1FE3">
        <w:rPr>
          <w:sz w:val="28"/>
          <w:szCs w:val="28"/>
        </w:rPr>
        <w:t>.</w:t>
      </w:r>
    </w:p>
    <w:p w14:paraId="7530ACC4" w14:textId="77777777" w:rsidR="009723FA" w:rsidRPr="00EB1FE3" w:rsidRDefault="009723FA" w:rsidP="007C22CF">
      <w:pPr>
        <w:rPr>
          <w:sz w:val="28"/>
          <w:szCs w:val="28"/>
        </w:rPr>
      </w:pPr>
    </w:p>
    <w:p w14:paraId="610D60E6" w14:textId="77777777" w:rsidR="00D841ED" w:rsidRPr="00EB1FE3" w:rsidRDefault="000F0358" w:rsidP="00D841ED">
      <w:pPr>
        <w:rPr>
          <w:sz w:val="28"/>
          <w:szCs w:val="28"/>
        </w:rPr>
      </w:pPr>
      <w:r w:rsidRPr="00EB1FE3">
        <w:rPr>
          <w:sz w:val="28"/>
          <w:szCs w:val="28"/>
        </w:rPr>
        <w:t xml:space="preserve">Tulevaisuudessa olisi julkisen ja yksityisen sektorin lahjusrikokset syytä yhdistää. </w:t>
      </w:r>
      <w:r w:rsidR="00D841ED" w:rsidRPr="00EB1FE3">
        <w:rPr>
          <w:sz w:val="28"/>
          <w:szCs w:val="28"/>
        </w:rPr>
        <w:t xml:space="preserve">Julkisen  ja yksityisen sektorin hoitamien tehtävien lähentyminen, keskinäinen yhteistyö ja riippuvuus toisistaan nostavat esiin lahjusrikossäännösten yhtenäistämistarpeen.  </w:t>
      </w:r>
    </w:p>
    <w:p w14:paraId="30F93DA5" w14:textId="77777777" w:rsidR="00D841ED" w:rsidRPr="00EB1FE3" w:rsidRDefault="00D841ED" w:rsidP="00D841ED">
      <w:pPr>
        <w:rPr>
          <w:sz w:val="28"/>
          <w:szCs w:val="28"/>
        </w:rPr>
      </w:pPr>
    </w:p>
    <w:p w14:paraId="19A630C1" w14:textId="64BEBA88" w:rsidR="005937AB" w:rsidRPr="00EB1FE3" w:rsidRDefault="000F0358" w:rsidP="00D841ED">
      <w:pPr>
        <w:rPr>
          <w:sz w:val="28"/>
          <w:szCs w:val="28"/>
        </w:rPr>
      </w:pPr>
      <w:r w:rsidRPr="00EB1FE3">
        <w:rPr>
          <w:sz w:val="28"/>
          <w:szCs w:val="28"/>
        </w:rPr>
        <w:t xml:space="preserve">Lisäksi olisi lahjusrikossääntelyssä keskityttävä merkittäviin </w:t>
      </w:r>
      <w:r w:rsidR="00D841ED" w:rsidRPr="00EB1FE3">
        <w:rPr>
          <w:sz w:val="28"/>
          <w:szCs w:val="28"/>
        </w:rPr>
        <w:t>lahjus</w:t>
      </w:r>
      <w:r w:rsidRPr="00EB1FE3">
        <w:rPr>
          <w:sz w:val="28"/>
          <w:szCs w:val="28"/>
        </w:rPr>
        <w:t xml:space="preserve">rikoksiin </w:t>
      </w:r>
      <w:r w:rsidR="00594121" w:rsidRPr="00EB1FE3">
        <w:rPr>
          <w:sz w:val="28"/>
          <w:szCs w:val="28"/>
        </w:rPr>
        <w:t xml:space="preserve">ja teonkuvaukset olisi kirjoitettava selkeiksi. </w:t>
      </w:r>
      <w:r w:rsidR="005937AB" w:rsidRPr="00EB1FE3">
        <w:rPr>
          <w:sz w:val="28"/>
          <w:szCs w:val="28"/>
        </w:rPr>
        <w:t>Kuntalakiin olisi otettava säännökset siitä, että kunnalla on oltava valtuus</w:t>
      </w:r>
      <w:r w:rsidR="0001456E" w:rsidRPr="00EB1FE3">
        <w:rPr>
          <w:sz w:val="28"/>
          <w:szCs w:val="28"/>
        </w:rPr>
        <w:t xml:space="preserve">ton hyväksymät eettiset ohjeet. Lisäksi </w:t>
      </w:r>
      <w:r w:rsidR="005937AB" w:rsidRPr="00EB1FE3">
        <w:rPr>
          <w:sz w:val="28"/>
          <w:szCs w:val="28"/>
        </w:rPr>
        <w:t xml:space="preserve">esimiehen valvontavastuusta on otettava lakiin säännökset. Tärkeää on myös, että kunta toimii vastuullisesti: noudatetaanko kunnassa standardeja? </w:t>
      </w:r>
    </w:p>
    <w:p w14:paraId="24F2DDFA" w14:textId="135EDF63" w:rsidR="005937AB" w:rsidRPr="00EB1FE3" w:rsidRDefault="005937AB" w:rsidP="005937AB">
      <w:pPr>
        <w:rPr>
          <w:sz w:val="28"/>
          <w:szCs w:val="28"/>
        </w:rPr>
      </w:pPr>
      <w:r w:rsidRPr="00EB1FE3">
        <w:rPr>
          <w:sz w:val="28"/>
          <w:szCs w:val="28"/>
        </w:rPr>
        <w:t>onko prosessit kuvattu ja toimivia? sisäisen valvonnan rooli</w:t>
      </w:r>
      <w:r w:rsidR="005E5892" w:rsidRPr="00EB1FE3">
        <w:rPr>
          <w:sz w:val="28"/>
          <w:szCs w:val="28"/>
        </w:rPr>
        <w:t>n vahvistaminen</w:t>
      </w:r>
      <w:r w:rsidRPr="00EB1FE3">
        <w:rPr>
          <w:sz w:val="28"/>
          <w:szCs w:val="28"/>
        </w:rPr>
        <w:t>? Väärinkäytösten ilmoituskanavat? Lobbausrekisteri kuntiin?</w:t>
      </w:r>
      <w:r w:rsidR="006B4626" w:rsidRPr="00EB1FE3">
        <w:rPr>
          <w:sz w:val="28"/>
          <w:szCs w:val="28"/>
        </w:rPr>
        <w:t xml:space="preserve"> </w:t>
      </w:r>
    </w:p>
    <w:p w14:paraId="0EFA55FF" w14:textId="77777777" w:rsidR="001519C7" w:rsidRPr="00EB1FE3" w:rsidRDefault="001519C7" w:rsidP="005937AB">
      <w:pPr>
        <w:rPr>
          <w:sz w:val="28"/>
          <w:szCs w:val="28"/>
        </w:rPr>
      </w:pPr>
    </w:p>
    <w:p w14:paraId="34C1D4B4" w14:textId="262D6313" w:rsidR="001519C7" w:rsidRPr="00EB1FE3" w:rsidRDefault="001519C7" w:rsidP="005937AB">
      <w:pPr>
        <w:rPr>
          <w:sz w:val="28"/>
          <w:szCs w:val="28"/>
        </w:rPr>
      </w:pPr>
      <w:r w:rsidRPr="00EB1FE3">
        <w:rPr>
          <w:sz w:val="28"/>
          <w:szCs w:val="28"/>
        </w:rPr>
        <w:t>Kunnallinen päätöksenteko on julkista. Kaikkien toimielimien esityslistat ja päätöksentekopöytäkirjat sekä viranhaltijapäätökset ovat julkisia ja löytyvät kunnan verkkosivuilta. Etenkin kuntien hankinnoissa tavataan markkinavuoropuhelutilaisuuksissa toimittajia</w:t>
      </w:r>
      <w:r w:rsidR="0001456E" w:rsidRPr="00EB1FE3">
        <w:rPr>
          <w:sz w:val="28"/>
          <w:szCs w:val="28"/>
        </w:rPr>
        <w:t xml:space="preserve"> sekä palveluntuottajia</w:t>
      </w:r>
      <w:r w:rsidRPr="00EB1FE3">
        <w:rPr>
          <w:sz w:val="28"/>
          <w:szCs w:val="28"/>
        </w:rPr>
        <w:t xml:space="preserve"> ja tilaisuuksista pidetään pöytäkirjaa. Näitä pöytäkirjoja kuitenkin harvemmin julkaistaan tai edes pyydetään nähtäväk</w:t>
      </w:r>
      <w:r w:rsidR="0001456E" w:rsidRPr="00EB1FE3">
        <w:rPr>
          <w:sz w:val="28"/>
          <w:szCs w:val="28"/>
        </w:rPr>
        <w:t>si. Mielestäni olisi järkevää</w:t>
      </w:r>
      <w:r w:rsidRPr="00EB1FE3">
        <w:rPr>
          <w:sz w:val="28"/>
          <w:szCs w:val="28"/>
        </w:rPr>
        <w:t xml:space="preserve"> kehittää </w:t>
      </w:r>
      <w:r w:rsidR="0001456E" w:rsidRPr="00EB1FE3">
        <w:rPr>
          <w:sz w:val="28"/>
          <w:szCs w:val="28"/>
        </w:rPr>
        <w:t xml:space="preserve">kunnan </w:t>
      </w:r>
      <w:r w:rsidRPr="00EB1FE3">
        <w:rPr>
          <w:sz w:val="28"/>
          <w:szCs w:val="28"/>
        </w:rPr>
        <w:t>päätöksenteon valmistelua siten, että yksi</w:t>
      </w:r>
      <w:r w:rsidR="005F505A" w:rsidRPr="00EB1FE3">
        <w:rPr>
          <w:sz w:val="28"/>
          <w:szCs w:val="28"/>
        </w:rPr>
        <w:t xml:space="preserve">ttäisessä valmistelussa kuultavana olleet tahot </w:t>
      </w:r>
      <w:r w:rsidR="005E5892" w:rsidRPr="00EB1FE3">
        <w:rPr>
          <w:sz w:val="28"/>
          <w:szCs w:val="28"/>
        </w:rPr>
        <w:t>ilmoitetaan osana valmistelua</w:t>
      </w:r>
      <w:r w:rsidR="00B655F9" w:rsidRPr="00EB1FE3">
        <w:rPr>
          <w:sz w:val="28"/>
          <w:szCs w:val="28"/>
        </w:rPr>
        <w:t xml:space="preserve"> (lobbauksen jalanjälki)</w:t>
      </w:r>
      <w:r w:rsidR="005E5892" w:rsidRPr="00EB1FE3">
        <w:rPr>
          <w:sz w:val="28"/>
          <w:szCs w:val="28"/>
        </w:rPr>
        <w:t xml:space="preserve">. </w:t>
      </w:r>
      <w:r w:rsidRPr="00EB1FE3">
        <w:rPr>
          <w:sz w:val="28"/>
          <w:szCs w:val="28"/>
        </w:rPr>
        <w:t>Pelkkä yleinen lobbausrekisteri kunnassa voi jättää auki sen, minkä yksittäisen päätöksenteon yhteydessä lobbaria on kuultu.</w:t>
      </w:r>
      <w:r w:rsidR="005F505A" w:rsidRPr="00EB1FE3">
        <w:rPr>
          <w:sz w:val="28"/>
          <w:szCs w:val="28"/>
        </w:rPr>
        <w:t xml:space="preserve"> Tapaamiskalenterien</w:t>
      </w:r>
      <w:r w:rsidR="004F1A00" w:rsidRPr="00EB1FE3">
        <w:rPr>
          <w:sz w:val="28"/>
          <w:szCs w:val="28"/>
        </w:rPr>
        <w:t xml:space="preserve"> avaaminen tekee tiedosta myös </w:t>
      </w:r>
      <w:r w:rsidR="005F505A" w:rsidRPr="00EB1FE3">
        <w:rPr>
          <w:sz w:val="28"/>
          <w:szCs w:val="28"/>
        </w:rPr>
        <w:t>ha</w:t>
      </w:r>
      <w:r w:rsidR="00B05D09" w:rsidRPr="00EB1FE3">
        <w:rPr>
          <w:sz w:val="28"/>
          <w:szCs w:val="28"/>
        </w:rPr>
        <w:t>janaista.</w:t>
      </w:r>
    </w:p>
    <w:p w14:paraId="5C37CE4C" w14:textId="143A7DF0" w:rsidR="005937AB" w:rsidRPr="00EB1FE3" w:rsidRDefault="005937AB" w:rsidP="005937AB">
      <w:pPr>
        <w:rPr>
          <w:sz w:val="28"/>
          <w:szCs w:val="28"/>
        </w:rPr>
      </w:pPr>
      <w:r w:rsidRPr="00EB1FE3">
        <w:rPr>
          <w:sz w:val="28"/>
          <w:szCs w:val="28"/>
        </w:rPr>
        <w:t xml:space="preserve"> </w:t>
      </w:r>
    </w:p>
    <w:p w14:paraId="772E0ABD" w14:textId="63F22A26" w:rsidR="000F0358" w:rsidRPr="00EB1FE3" w:rsidRDefault="005937AB" w:rsidP="005937AB">
      <w:pPr>
        <w:rPr>
          <w:sz w:val="28"/>
          <w:szCs w:val="28"/>
        </w:rPr>
      </w:pPr>
      <w:r w:rsidRPr="00EB1FE3">
        <w:rPr>
          <w:sz w:val="28"/>
          <w:szCs w:val="28"/>
        </w:rPr>
        <w:t xml:space="preserve"> </w:t>
      </w:r>
    </w:p>
    <w:p w14:paraId="56A0D17F" w14:textId="55BB9D99" w:rsidR="00AA6B47" w:rsidRPr="00AA6B47" w:rsidRDefault="00AA6B47" w:rsidP="00AA6B47">
      <w:pPr>
        <w:rPr>
          <w:sz w:val="28"/>
          <w:szCs w:val="28"/>
        </w:rPr>
      </w:pPr>
      <w:r>
        <w:rPr>
          <w:sz w:val="28"/>
          <w:szCs w:val="28"/>
        </w:rPr>
        <w:t>26.2.2020</w:t>
      </w:r>
      <w:r w:rsidRPr="00AA6B47">
        <w:rPr>
          <w:sz w:val="28"/>
          <w:szCs w:val="28"/>
        </w:rPr>
        <w:t xml:space="preserve"> Turun yliopisto</w:t>
      </w:r>
    </w:p>
    <w:p w14:paraId="7291E959" w14:textId="77777777" w:rsidR="00AA6B47" w:rsidRPr="00AA6B47" w:rsidRDefault="00AA6B47" w:rsidP="00AA6B47">
      <w:pPr>
        <w:rPr>
          <w:sz w:val="28"/>
          <w:szCs w:val="28"/>
        </w:rPr>
      </w:pPr>
    </w:p>
    <w:p w14:paraId="5CDE5A8E" w14:textId="1F54AB23" w:rsidR="00FA2FFD" w:rsidRPr="00EB1FE3" w:rsidRDefault="00FA2FFD" w:rsidP="000F0358">
      <w:pPr>
        <w:rPr>
          <w:sz w:val="28"/>
          <w:szCs w:val="28"/>
        </w:rPr>
      </w:pPr>
    </w:p>
    <w:p w14:paraId="089878E0" w14:textId="62B1F0F8" w:rsidR="00C27E16" w:rsidRPr="00EB1FE3" w:rsidRDefault="00C27E16" w:rsidP="00280974">
      <w:pPr>
        <w:rPr>
          <w:sz w:val="28"/>
          <w:szCs w:val="28"/>
        </w:rPr>
      </w:pPr>
      <w:r w:rsidRPr="00EB1FE3">
        <w:rPr>
          <w:sz w:val="28"/>
          <w:szCs w:val="28"/>
        </w:rPr>
        <w:t>Tanja Mansikka, OTT</w:t>
      </w:r>
    </w:p>
    <w:p w14:paraId="4083B9A1" w14:textId="77777777" w:rsidR="00280974" w:rsidRPr="00EB1FE3" w:rsidRDefault="00280974" w:rsidP="00280974">
      <w:pPr>
        <w:rPr>
          <w:sz w:val="28"/>
          <w:szCs w:val="28"/>
        </w:rPr>
      </w:pPr>
    </w:p>
    <w:p w14:paraId="18752BE2" w14:textId="77777777" w:rsidR="008977FE" w:rsidRPr="00EB1FE3" w:rsidRDefault="008977FE">
      <w:pPr>
        <w:rPr>
          <w:sz w:val="28"/>
          <w:szCs w:val="28"/>
        </w:rPr>
      </w:pPr>
    </w:p>
    <w:sectPr w:rsidR="008977FE" w:rsidRPr="00EB1FE3" w:rsidSect="00D82263">
      <w:footerReference w:type="even" r:id="rId6"/>
      <w:footerReference w:type="default" r:id="rId7"/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90453" w14:textId="77777777" w:rsidR="00330F6F" w:rsidRDefault="00330F6F">
      <w:r>
        <w:separator/>
      </w:r>
    </w:p>
  </w:endnote>
  <w:endnote w:type="continuationSeparator" w:id="0">
    <w:p w14:paraId="3ABDF7B1" w14:textId="77777777" w:rsidR="00330F6F" w:rsidRDefault="00330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6110B" w14:textId="77777777" w:rsidR="00245042" w:rsidRDefault="00245042" w:rsidP="00F67A4E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7588892B" w14:textId="77777777" w:rsidR="00245042" w:rsidRDefault="00245042" w:rsidP="00F67A4E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B5B18" w14:textId="77777777" w:rsidR="00245042" w:rsidRDefault="00245042" w:rsidP="00F67A4E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AA6B47">
      <w:rPr>
        <w:rStyle w:val="Sivunumero"/>
        <w:noProof/>
      </w:rPr>
      <w:t>1</w:t>
    </w:r>
    <w:r>
      <w:rPr>
        <w:rStyle w:val="Sivunumero"/>
      </w:rPr>
      <w:fldChar w:fldCharType="end"/>
    </w:r>
  </w:p>
  <w:p w14:paraId="43626B01" w14:textId="77777777" w:rsidR="00245042" w:rsidRDefault="00245042" w:rsidP="00F67A4E">
    <w:pPr>
      <w:pStyle w:val="Alatunnist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CD898" w14:textId="77777777" w:rsidR="00330F6F" w:rsidRDefault="00330F6F">
      <w:r>
        <w:separator/>
      </w:r>
    </w:p>
  </w:footnote>
  <w:footnote w:type="continuationSeparator" w:id="0">
    <w:p w14:paraId="46B1EE24" w14:textId="77777777" w:rsidR="00330F6F" w:rsidRDefault="00330F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974"/>
    <w:rsid w:val="0001456E"/>
    <w:rsid w:val="0009602D"/>
    <w:rsid w:val="000F0358"/>
    <w:rsid w:val="00145FB9"/>
    <w:rsid w:val="001519C7"/>
    <w:rsid w:val="00190332"/>
    <w:rsid w:val="001F1436"/>
    <w:rsid w:val="00233640"/>
    <w:rsid w:val="00245042"/>
    <w:rsid w:val="00280974"/>
    <w:rsid w:val="002A191B"/>
    <w:rsid w:val="002A6B9F"/>
    <w:rsid w:val="00330F6F"/>
    <w:rsid w:val="00337CF2"/>
    <w:rsid w:val="00363A8D"/>
    <w:rsid w:val="003A4E82"/>
    <w:rsid w:val="003B5410"/>
    <w:rsid w:val="00481427"/>
    <w:rsid w:val="004F1A00"/>
    <w:rsid w:val="004F5519"/>
    <w:rsid w:val="005217A8"/>
    <w:rsid w:val="00585950"/>
    <w:rsid w:val="005937AB"/>
    <w:rsid w:val="00594121"/>
    <w:rsid w:val="005E5892"/>
    <w:rsid w:val="005F505A"/>
    <w:rsid w:val="006B4626"/>
    <w:rsid w:val="007A5830"/>
    <w:rsid w:val="007C22CF"/>
    <w:rsid w:val="007F573C"/>
    <w:rsid w:val="00802C66"/>
    <w:rsid w:val="008372E8"/>
    <w:rsid w:val="008977FE"/>
    <w:rsid w:val="009723FA"/>
    <w:rsid w:val="00982E0C"/>
    <w:rsid w:val="009C1050"/>
    <w:rsid w:val="009C5375"/>
    <w:rsid w:val="00A00574"/>
    <w:rsid w:val="00AA6B47"/>
    <w:rsid w:val="00B00413"/>
    <w:rsid w:val="00B05D09"/>
    <w:rsid w:val="00B655F9"/>
    <w:rsid w:val="00C27E16"/>
    <w:rsid w:val="00CA6AF9"/>
    <w:rsid w:val="00D33AB0"/>
    <w:rsid w:val="00D60A1B"/>
    <w:rsid w:val="00D63AFD"/>
    <w:rsid w:val="00D82263"/>
    <w:rsid w:val="00D841ED"/>
    <w:rsid w:val="00D95A5B"/>
    <w:rsid w:val="00E279F8"/>
    <w:rsid w:val="00E63D37"/>
    <w:rsid w:val="00EB1FE3"/>
    <w:rsid w:val="00EC7B0B"/>
    <w:rsid w:val="00F67187"/>
    <w:rsid w:val="00F67A4E"/>
    <w:rsid w:val="00FA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236360"/>
  <w14:defaultImageDpi w14:val="300"/>
  <w15:docId w15:val="{2400B828-B4C6-4EB6-AA97-CF88D4C5C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80974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99"/>
    <w:unhideWhenUsed/>
    <w:rsid w:val="0028097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280974"/>
  </w:style>
  <w:style w:type="character" w:styleId="Sivunumero">
    <w:name w:val="page number"/>
    <w:basedOn w:val="Kappaleenoletusfontti"/>
    <w:uiPriority w:val="99"/>
    <w:semiHidden/>
    <w:unhideWhenUsed/>
    <w:rsid w:val="00280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6448</Characters>
  <Application>Microsoft Office Word</Application>
  <DocSecurity>0</DocSecurity>
  <Lines>53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MansikkaLaw</Company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Mansikka</dc:creator>
  <cp:keywords/>
  <dc:description/>
  <cp:lastModifiedBy>Jorma Pihlava</cp:lastModifiedBy>
  <cp:revision>2</cp:revision>
  <cp:lastPrinted>2020-02-26T07:08:00Z</cp:lastPrinted>
  <dcterms:created xsi:type="dcterms:W3CDTF">2020-03-03T18:25:00Z</dcterms:created>
  <dcterms:modified xsi:type="dcterms:W3CDTF">2020-03-03T18:25:00Z</dcterms:modified>
</cp:coreProperties>
</file>